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Oneway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11:01:37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cases with no missing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ONEWAY DeliveryTime BY CarrierID</w:t>
              <w:br/>
              <w:t>/ES=OVERALL</w:t>
              <w:br/>
              <w:t>/MISSING ANALYSIS</w:t>
              <w:br/>
              <w:t>/CRITERIA=CILEVEL(0.95)</w:t>
              <w:br/>
              <w:t>/POSTHOC=TUKEY BONFERRONI ALPHA(0.05).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02"/>
        <w:gridCol w:w="1666"/>
        <w:gridCol w:w="1156"/>
        <w:gridCol w:w="1479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Sum of Squares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Square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8,181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152,568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Within Groups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10,781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 Effect Sizes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DeliveryTime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Eta-squared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Epsilon-squared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Fixed-effect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Random-effect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Eta-squared and Epsilon-squared are estimated based on the fixed-effect model.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Post Hoc Tests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CarrierID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CarrierID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 (I-J)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CarrierID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CarrierID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,220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The mean difference is significant at the 0.05 level.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Homogeneous Subsets</w:t>
        <w:cr/>
      </w:r>
    </w:p>
    <w:p>
      <w:r/>
    </w:p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DeliveryTime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CarrierID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Subset for alpha = 0.05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  <w:r>
              <w:rPr>
                <w:vertAlign w:val="superscript"/>
              </w:rPr>
              <w:t>a,b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5,059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5,718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Means for groups in homogeneous subsets are displayed.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Uses Harmonic Mean Sample Size = 33,327.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The group sizes are unequal. The harmonic mean of the group sizes is used. Type I error levels are not guaranteed.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ea3c6b89e5b2f63f9c673131913526a4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1d298d80043a1406bbee35aad13b0ffa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A4E36F28-28F6-4B87-8431-EC278FF33FBE}"/>
</file>

<file path=customXml/itemProps2.xml><?xml version="1.0" encoding="utf-8"?>
<ds:datastoreItem xmlns:ds="http://schemas.openxmlformats.org/officeDocument/2006/customXml" ds:itemID="{2B988515-4951-43BC-9AB1-1521A09DF0A6}"/>
</file>

<file path=customXml/itemProps3.xml><?xml version="1.0" encoding="utf-8"?>
<ds:datastoreItem xmlns:ds="http://schemas.openxmlformats.org/officeDocument/2006/customXml" ds:itemID="{4138BC9D-F347-49E9-A581-F8EB4F424CAC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2024-10-16T09:02:40Z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